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50BF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>
        <w:rPr>
          <w:rFonts w:ascii="Arial Narrow" w:hAnsi="Arial Narrow" w:cs="Arial"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empleada, por lo que le hago de su conocimiento que la inf</w:t>
      </w:r>
      <w:r w:rsidR="003209FE">
        <w:rPr>
          <w:rFonts w:ascii="Arial Narrow" w:hAnsi="Arial Narrow" w:cs="Arial"/>
          <w:sz w:val="24"/>
          <w:szCs w:val="24"/>
        </w:rPr>
        <w:t xml:space="preserve">ormación sigue siendo la misma </w:t>
      </w:r>
      <w:r w:rsidR="00E134C9">
        <w:rPr>
          <w:rFonts w:ascii="Arial Narrow" w:hAnsi="Arial Narrow" w:cs="Arial"/>
          <w:sz w:val="24"/>
          <w:szCs w:val="24"/>
        </w:rPr>
        <w:t>con los mismos programas, como dato aún no se han abierto todos, a</w:t>
      </w:r>
      <w:bookmarkStart w:id="0" w:name="_GoBack"/>
      <w:bookmarkEnd w:id="0"/>
      <w:r w:rsidR="00E134C9">
        <w:rPr>
          <w:rFonts w:ascii="Arial Narrow" w:hAnsi="Arial Narrow" w:cs="Arial"/>
          <w:sz w:val="24"/>
          <w:szCs w:val="24"/>
        </w:rPr>
        <w:t xml:space="preserve"> continuación se la detallo los programas de los últimos 3 años.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  <w:p w:rsidR="00E134C9" w:rsidRPr="00C94932" w:rsidRDefault="00E134C9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Bienestar Adulto Mayor.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E134C9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PROSPERA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alimentación y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mejoren su 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E134C9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792173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se ejecuta con las nuevas reglas. Estamos en espera.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E134C9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  <w:r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 xml:space="preserve">APOYO A MADRES </w:t>
            </w:r>
            <w:r w:rsidRPr="00C94932">
              <w:rPr>
                <w:rFonts w:ascii="Arial" w:hAnsi="Arial" w:cs="Arial"/>
                <w:b/>
                <w:sz w:val="20"/>
              </w:rPr>
              <w:lastRenderedPageBreak/>
              <w:t>JEFAS DE FAMILIA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Es un programa que contempla dos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Gestionar para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E134C9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9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certificado médico que acredite y especifique su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Presentarse personalmente a solicitar el apoyo y responder el formato de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estudio  socioeconómico.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E134C9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JALISCO INCLUYENTE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72DD7"/>
    <w:rsid w:val="001B3D90"/>
    <w:rsid w:val="001B697E"/>
    <w:rsid w:val="002A6C12"/>
    <w:rsid w:val="003209FE"/>
    <w:rsid w:val="003853F7"/>
    <w:rsid w:val="003D739E"/>
    <w:rsid w:val="003F47A0"/>
    <w:rsid w:val="005021BE"/>
    <w:rsid w:val="00511202"/>
    <w:rsid w:val="00524791"/>
    <w:rsid w:val="00547ED5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36603"/>
    <w:rsid w:val="009A4073"/>
    <w:rsid w:val="009E1041"/>
    <w:rsid w:val="00A412BB"/>
    <w:rsid w:val="00A52B04"/>
    <w:rsid w:val="00A7358D"/>
    <w:rsid w:val="00B94763"/>
    <w:rsid w:val="00BF4C0A"/>
    <w:rsid w:val="00C355C1"/>
    <w:rsid w:val="00C43563"/>
    <w:rsid w:val="00C50BF7"/>
    <w:rsid w:val="00C93BE6"/>
    <w:rsid w:val="00D42A19"/>
    <w:rsid w:val="00DC5F3B"/>
    <w:rsid w:val="00E134C9"/>
    <w:rsid w:val="00E4277E"/>
    <w:rsid w:val="00EF4A74"/>
    <w:rsid w:val="00F00280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ramas.jalisco.gob.mx/transparenciaFiscal/JaliscoIncluyen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27</cp:revision>
  <cp:lastPrinted>2018-12-28T18:40:00Z</cp:lastPrinted>
  <dcterms:created xsi:type="dcterms:W3CDTF">2018-12-31T15:51:00Z</dcterms:created>
  <dcterms:modified xsi:type="dcterms:W3CDTF">2019-06-10T14:23:00Z</dcterms:modified>
</cp:coreProperties>
</file>